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C5D2A" w14:textId="77777777" w:rsidR="00550349" w:rsidRPr="00421D1D" w:rsidRDefault="00550349" w:rsidP="00550349">
      <w:pPr>
        <w:spacing w:after="120"/>
        <w:jc w:val="center"/>
        <w:rPr>
          <w:rFonts w:ascii="Verdana" w:hAnsi="Verdana"/>
          <w:b/>
          <w:smallCaps/>
          <w:sz w:val="20"/>
          <w:szCs w:val="20"/>
        </w:rPr>
      </w:pPr>
      <w:r w:rsidRPr="00421D1D">
        <w:rPr>
          <w:rFonts w:ascii="Verdana" w:hAnsi="Verdana"/>
          <w:b/>
          <w:smallCaps/>
          <w:sz w:val="20"/>
          <w:szCs w:val="20"/>
        </w:rPr>
        <w:t xml:space="preserve">Accademia di Belle Arti di </w:t>
      </w:r>
      <w:r w:rsidR="00662717" w:rsidRPr="00421D1D">
        <w:rPr>
          <w:rFonts w:ascii="Verdana" w:hAnsi="Verdana"/>
          <w:b/>
          <w:smallCaps/>
          <w:sz w:val="20"/>
          <w:szCs w:val="20"/>
        </w:rPr>
        <w:t>Napoli</w:t>
      </w:r>
    </w:p>
    <w:p w14:paraId="117EBC0C" w14:textId="7EBEE3EA" w:rsidR="00550349" w:rsidRPr="00492AED" w:rsidRDefault="00D009A6" w:rsidP="00550349">
      <w:pPr>
        <w:jc w:val="center"/>
        <w:rPr>
          <w:rFonts w:ascii="Verdana" w:hAnsi="Verdana"/>
          <w:b/>
          <w:sz w:val="18"/>
          <w:szCs w:val="18"/>
        </w:rPr>
      </w:pPr>
      <w:r w:rsidRPr="00492AED">
        <w:rPr>
          <w:rFonts w:ascii="Verdana" w:hAnsi="Verdana"/>
          <w:b/>
          <w:sz w:val="18"/>
          <w:szCs w:val="18"/>
        </w:rPr>
        <w:t>a.a. 2013-2014</w:t>
      </w:r>
      <w:r w:rsidR="00FB69CC" w:rsidRPr="00492AED">
        <w:rPr>
          <w:rFonts w:ascii="Verdana" w:hAnsi="Verdana"/>
          <w:b/>
          <w:sz w:val="18"/>
          <w:szCs w:val="18"/>
        </w:rPr>
        <w:t>, II semestre</w:t>
      </w:r>
    </w:p>
    <w:p w14:paraId="4600DD25" w14:textId="77777777" w:rsidR="00550349" w:rsidRPr="00421D1D" w:rsidRDefault="00550349" w:rsidP="00550349">
      <w:pPr>
        <w:jc w:val="center"/>
        <w:rPr>
          <w:rFonts w:ascii="Verdana" w:hAnsi="Verdana"/>
          <w:b/>
          <w:sz w:val="20"/>
          <w:szCs w:val="20"/>
        </w:rPr>
      </w:pPr>
    </w:p>
    <w:p w14:paraId="2A30A48B" w14:textId="77777777" w:rsidR="00550349" w:rsidRPr="00421D1D" w:rsidRDefault="00550349" w:rsidP="00550349">
      <w:pPr>
        <w:jc w:val="center"/>
        <w:rPr>
          <w:rFonts w:ascii="Verdana" w:hAnsi="Verdana"/>
          <w:b/>
          <w:smallCaps/>
          <w:sz w:val="20"/>
          <w:szCs w:val="20"/>
        </w:rPr>
      </w:pPr>
      <w:r w:rsidRPr="00421D1D">
        <w:rPr>
          <w:rFonts w:ascii="Verdana" w:hAnsi="Verdana"/>
          <w:b/>
          <w:smallCaps/>
          <w:sz w:val="20"/>
          <w:szCs w:val="20"/>
        </w:rPr>
        <w:t xml:space="preserve">Corso di Storia dell’Arte Antica </w:t>
      </w:r>
    </w:p>
    <w:p w14:paraId="272522A4" w14:textId="77777777" w:rsidR="00550349" w:rsidRPr="00421D1D" w:rsidRDefault="00550349" w:rsidP="00550349">
      <w:pPr>
        <w:rPr>
          <w:rFonts w:ascii="Verdana" w:hAnsi="Verdana"/>
          <w:b/>
          <w:sz w:val="20"/>
          <w:szCs w:val="20"/>
        </w:rPr>
      </w:pPr>
    </w:p>
    <w:p w14:paraId="56AEC59E" w14:textId="77777777" w:rsidR="00550349" w:rsidRPr="00421D1D" w:rsidRDefault="00550349" w:rsidP="00550349">
      <w:pPr>
        <w:jc w:val="center"/>
        <w:rPr>
          <w:rFonts w:ascii="Verdana" w:hAnsi="Verdana"/>
          <w:b/>
          <w:sz w:val="20"/>
          <w:szCs w:val="20"/>
        </w:rPr>
      </w:pPr>
      <w:r w:rsidRPr="00421D1D">
        <w:rPr>
          <w:rFonts w:ascii="Verdana" w:hAnsi="Verdana"/>
          <w:b/>
          <w:sz w:val="20"/>
          <w:szCs w:val="20"/>
        </w:rPr>
        <w:t xml:space="preserve">Docente: Prof. Gerardo de Simone </w:t>
      </w:r>
    </w:p>
    <w:p w14:paraId="09E028A6" w14:textId="77777777" w:rsidR="00550349" w:rsidRPr="00421D1D" w:rsidRDefault="00550349" w:rsidP="00550349">
      <w:pPr>
        <w:rPr>
          <w:rFonts w:ascii="Verdana" w:hAnsi="Verdana"/>
          <w:b/>
          <w:sz w:val="20"/>
          <w:szCs w:val="20"/>
        </w:rPr>
      </w:pPr>
    </w:p>
    <w:bookmarkStart w:id="0" w:name="_GoBack"/>
    <w:bookmarkEnd w:id="0"/>
    <w:p w14:paraId="77843182" w14:textId="77777777" w:rsidR="00550349" w:rsidRPr="00421D1D" w:rsidRDefault="00492AED" w:rsidP="00550349">
      <w:pPr>
        <w:spacing w:after="120"/>
        <w:jc w:val="center"/>
        <w:rPr>
          <w:rFonts w:ascii="Verdana" w:hAnsi="Verdana"/>
          <w:sz w:val="20"/>
          <w:szCs w:val="20"/>
        </w:rPr>
      </w:pPr>
      <w:r>
        <w:fldChar w:fldCharType="begin"/>
      </w:r>
      <w:r>
        <w:instrText xml:space="preserve"> HYPERLINK "mailto:gerardo.desimone@gmail.com" </w:instrText>
      </w:r>
      <w:r>
        <w:fldChar w:fldCharType="separate"/>
      </w:r>
      <w:r w:rsidR="00550349" w:rsidRPr="00421D1D">
        <w:rPr>
          <w:rStyle w:val="Hyperlink"/>
          <w:rFonts w:ascii="Verdana" w:hAnsi="Verdana"/>
          <w:sz w:val="20"/>
          <w:szCs w:val="20"/>
        </w:rPr>
        <w:t>gerardo.desimone@gmail.com</w:t>
      </w:r>
      <w:r>
        <w:rPr>
          <w:rStyle w:val="Hyperlink"/>
          <w:rFonts w:ascii="Verdana" w:hAnsi="Verdana"/>
          <w:sz w:val="20"/>
          <w:szCs w:val="20"/>
        </w:rPr>
        <w:fldChar w:fldCharType="end"/>
      </w:r>
    </w:p>
    <w:p w14:paraId="430CF933" w14:textId="77777777" w:rsidR="00550349" w:rsidRPr="00421D1D" w:rsidRDefault="00550349" w:rsidP="00550349">
      <w:pPr>
        <w:rPr>
          <w:rFonts w:ascii="Verdana" w:hAnsi="Verdana"/>
          <w:b/>
          <w:sz w:val="20"/>
          <w:szCs w:val="20"/>
        </w:rPr>
      </w:pPr>
    </w:p>
    <w:p w14:paraId="63C0E14F" w14:textId="77777777" w:rsidR="00550349" w:rsidRDefault="00550349" w:rsidP="00550349">
      <w:pPr>
        <w:jc w:val="center"/>
        <w:rPr>
          <w:rFonts w:ascii="Verdana" w:hAnsi="Verdana"/>
          <w:b/>
          <w:i/>
          <w:sz w:val="20"/>
          <w:szCs w:val="20"/>
        </w:rPr>
      </w:pPr>
      <w:r w:rsidRPr="00421D1D">
        <w:rPr>
          <w:rFonts w:ascii="Verdana" w:hAnsi="Verdana"/>
          <w:b/>
          <w:i/>
          <w:sz w:val="20"/>
          <w:szCs w:val="20"/>
        </w:rPr>
        <w:t>Programma d’esame:</w:t>
      </w:r>
    </w:p>
    <w:p w14:paraId="0D34EBD6" w14:textId="77777777" w:rsidR="0014188A" w:rsidRPr="00421D1D" w:rsidRDefault="0014188A" w:rsidP="00550349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71356013" w14:textId="5B96F332" w:rsidR="006A04F5" w:rsidRDefault="001C7994" w:rsidP="001C7994">
      <w:pPr>
        <w:rPr>
          <w:rFonts w:ascii="Verdana" w:hAnsi="Verdana"/>
          <w:sz w:val="20"/>
          <w:szCs w:val="20"/>
        </w:rPr>
      </w:pPr>
      <w:r w:rsidRPr="00421D1D">
        <w:rPr>
          <w:rFonts w:ascii="Verdana" w:hAnsi="Verdana"/>
          <w:sz w:val="20"/>
          <w:szCs w:val="20"/>
        </w:rPr>
        <w:t>Il corso intende offrire un'analisi approfondita delle correnti artistiche succedutesi dall'</w:t>
      </w:r>
      <w:r w:rsidR="00FB7D88" w:rsidRPr="00421D1D">
        <w:rPr>
          <w:rFonts w:ascii="Verdana" w:hAnsi="Verdana"/>
          <w:sz w:val="20"/>
          <w:szCs w:val="20"/>
        </w:rPr>
        <w:t xml:space="preserve">alba della </w:t>
      </w:r>
      <w:r w:rsidR="00287F2B">
        <w:rPr>
          <w:rFonts w:ascii="Verdana" w:hAnsi="Verdana"/>
          <w:sz w:val="20"/>
          <w:szCs w:val="20"/>
        </w:rPr>
        <w:t>creatività</w:t>
      </w:r>
      <w:r w:rsidR="002369CD">
        <w:rPr>
          <w:rFonts w:ascii="Verdana" w:hAnsi="Verdana"/>
          <w:sz w:val="20"/>
          <w:szCs w:val="20"/>
        </w:rPr>
        <w:t xml:space="preserve"> umana fino all'</w:t>
      </w:r>
      <w:r w:rsidR="002369CD">
        <w:rPr>
          <w:rFonts w:ascii="Verdana" w:hAnsi="Verdana"/>
          <w:i/>
          <w:sz w:val="20"/>
          <w:szCs w:val="20"/>
        </w:rPr>
        <w:t>incipit</w:t>
      </w:r>
      <w:r w:rsidR="002369CD">
        <w:rPr>
          <w:rFonts w:ascii="Verdana" w:hAnsi="Verdana"/>
          <w:sz w:val="20"/>
          <w:szCs w:val="20"/>
        </w:rPr>
        <w:t xml:space="preserve"> del Medioevo, sancito</w:t>
      </w:r>
      <w:r w:rsidR="00FB7D88" w:rsidRPr="00421D1D">
        <w:rPr>
          <w:rFonts w:ascii="Verdana" w:hAnsi="Verdana"/>
          <w:sz w:val="20"/>
          <w:szCs w:val="20"/>
        </w:rPr>
        <w:t xml:space="preserve"> dal primo imperatore cristiano Costantino. Il lungo cammino dalle Veneri preistoriche e dalle </w:t>
      </w:r>
      <w:r w:rsidR="003823C4">
        <w:rPr>
          <w:rFonts w:ascii="Verdana" w:hAnsi="Verdana"/>
          <w:sz w:val="20"/>
          <w:szCs w:val="20"/>
        </w:rPr>
        <w:t>pitture rupestri del Pal</w:t>
      </w:r>
      <w:r w:rsidR="001D5B34" w:rsidRPr="00421D1D">
        <w:rPr>
          <w:rFonts w:ascii="Verdana" w:hAnsi="Verdana"/>
          <w:sz w:val="20"/>
          <w:szCs w:val="20"/>
        </w:rPr>
        <w:t>eolitico fino al III secolo d.C. chiuso da Diocleziano</w:t>
      </w:r>
      <w:r w:rsidR="00E5588C" w:rsidRPr="00421D1D">
        <w:rPr>
          <w:rFonts w:ascii="Verdana" w:hAnsi="Verdana"/>
          <w:sz w:val="20"/>
          <w:szCs w:val="20"/>
        </w:rPr>
        <w:t xml:space="preserve">, passando attraverso le civiltà mesopotamiche, egizia, </w:t>
      </w:r>
      <w:r w:rsidR="00FF307B" w:rsidRPr="00421D1D">
        <w:rPr>
          <w:rFonts w:ascii="Verdana" w:hAnsi="Verdana"/>
          <w:sz w:val="20"/>
          <w:szCs w:val="20"/>
        </w:rPr>
        <w:t xml:space="preserve">cicladica, </w:t>
      </w:r>
      <w:r w:rsidR="00E5588C" w:rsidRPr="00421D1D">
        <w:rPr>
          <w:rFonts w:ascii="Verdana" w:hAnsi="Verdana"/>
          <w:sz w:val="20"/>
          <w:szCs w:val="20"/>
        </w:rPr>
        <w:t>cretese</w:t>
      </w:r>
      <w:r w:rsidR="00FF307B" w:rsidRPr="00421D1D">
        <w:rPr>
          <w:rFonts w:ascii="Verdana" w:hAnsi="Verdana"/>
          <w:sz w:val="20"/>
          <w:szCs w:val="20"/>
        </w:rPr>
        <w:t>, micenea, greca (arcaica, classica, ellenistica),</w:t>
      </w:r>
      <w:r w:rsidR="00421D1D">
        <w:rPr>
          <w:rFonts w:ascii="Verdana" w:hAnsi="Verdana"/>
          <w:sz w:val="20"/>
          <w:szCs w:val="20"/>
        </w:rPr>
        <w:t xml:space="preserve"> etrusca, romana (monarchica, repubblicana,</w:t>
      </w:r>
      <w:r w:rsidR="00FF307B" w:rsidRPr="00421D1D">
        <w:rPr>
          <w:rFonts w:ascii="Verdana" w:hAnsi="Verdana"/>
          <w:sz w:val="20"/>
          <w:szCs w:val="20"/>
        </w:rPr>
        <w:t xml:space="preserve"> imperiale),</w:t>
      </w:r>
      <w:r w:rsidR="001D5B34" w:rsidRPr="00421D1D">
        <w:rPr>
          <w:rFonts w:ascii="Verdana" w:hAnsi="Verdana"/>
          <w:sz w:val="20"/>
          <w:szCs w:val="20"/>
        </w:rPr>
        <w:t xml:space="preserve"> </w:t>
      </w:r>
      <w:r w:rsidR="00E82925" w:rsidRPr="00421D1D">
        <w:rPr>
          <w:rFonts w:ascii="Verdana" w:hAnsi="Verdana"/>
          <w:sz w:val="20"/>
          <w:szCs w:val="20"/>
        </w:rPr>
        <w:t>seguirà la traccia del manuale di</w:t>
      </w:r>
      <w:r w:rsidR="00DB2C20">
        <w:rPr>
          <w:rFonts w:ascii="Verdana" w:hAnsi="Verdana"/>
          <w:sz w:val="20"/>
          <w:szCs w:val="20"/>
        </w:rPr>
        <w:t xml:space="preserve"> recente pubblicazione</w:t>
      </w:r>
      <w:r w:rsidR="00E82925" w:rsidRPr="00421D1D">
        <w:rPr>
          <w:rFonts w:ascii="Verdana" w:hAnsi="Verdana"/>
          <w:sz w:val="20"/>
          <w:szCs w:val="20"/>
        </w:rPr>
        <w:t xml:space="preserve"> di Antonio Pinelli, sintesi </w:t>
      </w:r>
      <w:r w:rsidR="00944B6C">
        <w:rPr>
          <w:rFonts w:ascii="Verdana" w:hAnsi="Verdana"/>
          <w:sz w:val="20"/>
          <w:szCs w:val="20"/>
        </w:rPr>
        <w:t>completa e</w:t>
      </w:r>
      <w:r w:rsidR="00E82925" w:rsidRPr="00421D1D">
        <w:rPr>
          <w:rFonts w:ascii="Verdana" w:hAnsi="Verdana"/>
          <w:sz w:val="20"/>
          <w:szCs w:val="20"/>
        </w:rPr>
        <w:t xml:space="preserve"> aggiornata </w:t>
      </w:r>
      <w:r w:rsidR="006A04F5">
        <w:rPr>
          <w:rFonts w:ascii="Verdana" w:hAnsi="Verdana"/>
          <w:sz w:val="20"/>
          <w:szCs w:val="20"/>
        </w:rPr>
        <w:t>della storia dell'arte antica</w:t>
      </w:r>
      <w:r w:rsidRPr="00421D1D">
        <w:rPr>
          <w:rFonts w:ascii="Verdana" w:hAnsi="Verdana"/>
          <w:sz w:val="20"/>
          <w:szCs w:val="20"/>
        </w:rPr>
        <w:t xml:space="preserve">. Di ogni epoca verranno evidenziate le peculiarità più significative, leggendo le opere d'arte in rapporto al contesto storico, </w:t>
      </w:r>
      <w:r w:rsidR="00FF307B" w:rsidRPr="00421D1D">
        <w:rPr>
          <w:rFonts w:ascii="Verdana" w:hAnsi="Verdana"/>
          <w:sz w:val="20"/>
          <w:szCs w:val="20"/>
        </w:rPr>
        <w:t xml:space="preserve">antropologico, </w:t>
      </w:r>
      <w:r w:rsidRPr="00421D1D">
        <w:rPr>
          <w:rFonts w:ascii="Verdana" w:hAnsi="Verdana"/>
          <w:sz w:val="20"/>
          <w:szCs w:val="20"/>
        </w:rPr>
        <w:t>culturale, filosofico</w:t>
      </w:r>
      <w:r w:rsidR="00F357BE" w:rsidRPr="00421D1D">
        <w:rPr>
          <w:rFonts w:ascii="Verdana" w:hAnsi="Verdana"/>
          <w:sz w:val="20"/>
          <w:szCs w:val="20"/>
        </w:rPr>
        <w:t xml:space="preserve">, </w:t>
      </w:r>
      <w:r w:rsidR="00FF307B" w:rsidRPr="00421D1D">
        <w:rPr>
          <w:rFonts w:ascii="Verdana" w:hAnsi="Verdana"/>
          <w:sz w:val="20"/>
          <w:szCs w:val="20"/>
        </w:rPr>
        <w:t>letterario</w:t>
      </w:r>
      <w:r w:rsidRPr="00421D1D">
        <w:rPr>
          <w:rFonts w:ascii="Verdana" w:hAnsi="Verdana"/>
          <w:sz w:val="20"/>
          <w:szCs w:val="20"/>
        </w:rPr>
        <w:t xml:space="preserve">, ideologico, politico, religioso, socio-economico; al contempo evidenziando le specificità </w:t>
      </w:r>
      <w:r w:rsidR="00F357BE" w:rsidRPr="00421D1D">
        <w:rPr>
          <w:rFonts w:ascii="Verdana" w:hAnsi="Verdana"/>
          <w:sz w:val="20"/>
          <w:szCs w:val="20"/>
        </w:rPr>
        <w:t>stilistico-formali</w:t>
      </w:r>
      <w:r w:rsidRPr="00421D1D">
        <w:rPr>
          <w:rFonts w:ascii="Verdana" w:hAnsi="Verdana"/>
          <w:sz w:val="20"/>
          <w:szCs w:val="20"/>
        </w:rPr>
        <w:t xml:space="preserve"> e iconograf</w:t>
      </w:r>
      <w:r w:rsidR="006151A8">
        <w:rPr>
          <w:rFonts w:ascii="Verdana" w:hAnsi="Verdana"/>
          <w:sz w:val="20"/>
          <w:szCs w:val="20"/>
        </w:rPr>
        <w:t>iche</w:t>
      </w:r>
      <w:r w:rsidRPr="00421D1D">
        <w:rPr>
          <w:rFonts w:ascii="Verdana" w:hAnsi="Verdana"/>
          <w:sz w:val="20"/>
          <w:szCs w:val="20"/>
        </w:rPr>
        <w:t xml:space="preserve">. </w:t>
      </w:r>
    </w:p>
    <w:p w14:paraId="2FB2D362" w14:textId="77777777" w:rsidR="006151A8" w:rsidRDefault="006151A8" w:rsidP="001C7994">
      <w:pPr>
        <w:rPr>
          <w:rFonts w:ascii="Verdana" w:hAnsi="Verdana"/>
          <w:sz w:val="20"/>
          <w:szCs w:val="20"/>
        </w:rPr>
      </w:pPr>
    </w:p>
    <w:p w14:paraId="027A0539" w14:textId="2F26AD24" w:rsidR="006A04F5" w:rsidRDefault="006151A8" w:rsidP="001C79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programma presenta inoltre due approfondimenti monografici</w:t>
      </w:r>
      <w:r w:rsidR="006A04F5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i</w:t>
      </w:r>
      <w:r w:rsidR="00FF307B" w:rsidRPr="00421D1D">
        <w:rPr>
          <w:rFonts w:ascii="Verdana" w:hAnsi="Verdana"/>
          <w:sz w:val="20"/>
          <w:szCs w:val="20"/>
        </w:rPr>
        <w:t xml:space="preserve">l testo di </w:t>
      </w:r>
      <w:r w:rsidR="006A04F5">
        <w:rPr>
          <w:rFonts w:ascii="Verdana" w:hAnsi="Verdana"/>
          <w:sz w:val="20"/>
          <w:szCs w:val="20"/>
        </w:rPr>
        <w:t>Catoni</w:t>
      </w:r>
      <w:r w:rsidR="00FF307B" w:rsidRPr="00421D1D">
        <w:rPr>
          <w:rFonts w:ascii="Verdana" w:hAnsi="Verdana"/>
          <w:sz w:val="20"/>
          <w:szCs w:val="20"/>
        </w:rPr>
        <w:t xml:space="preserve"> dedicat</w:t>
      </w:r>
      <w:r w:rsidR="00287F2B">
        <w:rPr>
          <w:rFonts w:ascii="Verdana" w:hAnsi="Verdana"/>
          <w:sz w:val="20"/>
          <w:szCs w:val="20"/>
        </w:rPr>
        <w:t xml:space="preserve">o alla </w:t>
      </w:r>
      <w:r w:rsidR="006A04F5">
        <w:rPr>
          <w:rFonts w:ascii="Verdana" w:hAnsi="Verdana"/>
          <w:sz w:val="20"/>
          <w:szCs w:val="20"/>
        </w:rPr>
        <w:t xml:space="preserve">comunicazione non verbale nell'antica Grecia, al vocabolario di gesti ed espressioni elaborato dai Greci e da loro trasmesso all'immaginario mediterraneo e occidentale; </w:t>
      </w:r>
      <w:r w:rsidR="00F357BE" w:rsidRPr="00421D1D">
        <w:rPr>
          <w:rFonts w:ascii="Verdana" w:hAnsi="Verdana"/>
          <w:sz w:val="20"/>
          <w:szCs w:val="20"/>
        </w:rPr>
        <w:t xml:space="preserve"> </w:t>
      </w:r>
      <w:r w:rsidR="006A04F5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il </w:t>
      </w:r>
      <w:r w:rsidR="00F357BE" w:rsidRPr="00421D1D">
        <w:rPr>
          <w:rFonts w:ascii="Verdana" w:hAnsi="Verdana"/>
          <w:sz w:val="20"/>
          <w:szCs w:val="20"/>
        </w:rPr>
        <w:t>classico</w:t>
      </w:r>
      <w:r w:rsidR="00421D1D">
        <w:rPr>
          <w:rFonts w:ascii="Verdana" w:hAnsi="Verdana"/>
          <w:sz w:val="20"/>
          <w:szCs w:val="20"/>
        </w:rPr>
        <w:t xml:space="preserve"> </w:t>
      </w:r>
      <w:r w:rsidR="00F357BE" w:rsidRPr="00421D1D">
        <w:rPr>
          <w:rFonts w:ascii="Verdana" w:hAnsi="Verdana"/>
          <w:sz w:val="20"/>
          <w:szCs w:val="20"/>
        </w:rPr>
        <w:t xml:space="preserve">studio di Zanker su </w:t>
      </w:r>
      <w:r>
        <w:rPr>
          <w:rFonts w:ascii="Verdana" w:hAnsi="Verdana"/>
          <w:i/>
          <w:sz w:val="20"/>
          <w:szCs w:val="20"/>
        </w:rPr>
        <w:t xml:space="preserve">Augusto e il </w:t>
      </w:r>
      <w:r w:rsidR="00F357BE" w:rsidRPr="006151A8">
        <w:rPr>
          <w:rFonts w:ascii="Verdana" w:hAnsi="Verdana"/>
          <w:i/>
          <w:sz w:val="20"/>
          <w:szCs w:val="20"/>
        </w:rPr>
        <w:t>potere delle immagini</w:t>
      </w:r>
      <w:r w:rsidR="00366052">
        <w:rPr>
          <w:rFonts w:ascii="Verdana" w:hAnsi="Verdana"/>
          <w:sz w:val="20"/>
          <w:szCs w:val="20"/>
        </w:rPr>
        <w:t>,</w:t>
      </w:r>
      <w:r w:rsidR="00421D1D">
        <w:rPr>
          <w:rFonts w:ascii="Verdana" w:hAnsi="Verdana"/>
          <w:sz w:val="20"/>
          <w:szCs w:val="20"/>
        </w:rPr>
        <w:t xml:space="preserve"> </w:t>
      </w:r>
      <w:r w:rsidR="006A04F5">
        <w:rPr>
          <w:rFonts w:ascii="Verdana" w:hAnsi="Verdana"/>
          <w:sz w:val="20"/>
          <w:szCs w:val="20"/>
        </w:rPr>
        <w:t xml:space="preserve">al fine di </w:t>
      </w:r>
      <w:r>
        <w:rPr>
          <w:rFonts w:ascii="Verdana" w:hAnsi="Verdana"/>
          <w:sz w:val="20"/>
          <w:szCs w:val="20"/>
        </w:rPr>
        <w:t>approfondire</w:t>
      </w:r>
      <w:r w:rsidR="006A04F5">
        <w:rPr>
          <w:rFonts w:ascii="Verdana" w:hAnsi="Verdana"/>
          <w:sz w:val="20"/>
          <w:szCs w:val="20"/>
        </w:rPr>
        <w:t xml:space="preserve"> i caratteri originali </w:t>
      </w:r>
      <w:r w:rsidR="00077C92">
        <w:rPr>
          <w:rFonts w:ascii="Verdana" w:hAnsi="Verdana"/>
          <w:sz w:val="20"/>
          <w:szCs w:val="20"/>
        </w:rPr>
        <w:t>del rapporto tra art</w:t>
      </w:r>
      <w:r>
        <w:rPr>
          <w:rFonts w:ascii="Verdana" w:hAnsi="Verdana"/>
          <w:sz w:val="20"/>
          <w:szCs w:val="20"/>
        </w:rPr>
        <w:t xml:space="preserve">e e ideologia nell'età augustea, esperienza capitale in sé e per la fortuna imperitura del mito augusteo nella cultura e nella politica. </w:t>
      </w:r>
    </w:p>
    <w:p w14:paraId="4FD51BCF" w14:textId="77777777" w:rsidR="006151A8" w:rsidRDefault="006151A8" w:rsidP="001C7994">
      <w:pPr>
        <w:rPr>
          <w:rFonts w:ascii="Verdana" w:hAnsi="Verdana"/>
          <w:sz w:val="20"/>
          <w:szCs w:val="20"/>
        </w:rPr>
      </w:pPr>
    </w:p>
    <w:p w14:paraId="4F912AFD" w14:textId="56124C0E" w:rsidR="00944B6C" w:rsidRDefault="006151A8" w:rsidP="001C79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Precondizione essenziale sarà una buon</w:t>
      </w:r>
      <w:r w:rsidR="00944B6C">
        <w:rPr>
          <w:rFonts w:ascii="Verdana" w:hAnsi="Verdana"/>
          <w:sz w:val="20"/>
          <w:szCs w:val="20"/>
        </w:rPr>
        <w:t>a conoscenza della storia antica, da ripassare (o ristudiare) analiticamente facendo ricorso a un buon manualie scolastico.</w:t>
      </w:r>
      <w:r w:rsidR="00944B6C" w:rsidRPr="00421D1D">
        <w:rPr>
          <w:rFonts w:ascii="Verdana" w:hAnsi="Verdana"/>
          <w:sz w:val="20"/>
          <w:szCs w:val="20"/>
        </w:rPr>
        <w:t xml:space="preserve"> </w:t>
      </w:r>
    </w:p>
    <w:p w14:paraId="09554E94" w14:textId="0B37BAC4" w:rsidR="001C7994" w:rsidRPr="00421D1D" w:rsidRDefault="001C7994" w:rsidP="001C7994">
      <w:pPr>
        <w:rPr>
          <w:rFonts w:ascii="Verdana" w:hAnsi="Verdana"/>
          <w:sz w:val="20"/>
          <w:szCs w:val="20"/>
        </w:rPr>
      </w:pPr>
      <w:r w:rsidRPr="00421D1D">
        <w:rPr>
          <w:rFonts w:ascii="Verdana" w:hAnsi="Verdana"/>
          <w:sz w:val="20"/>
          <w:szCs w:val="20"/>
        </w:rPr>
        <w:t>Testimonianza fedele di tutti gli argomenti affrontati sarà il Powerpoint complessivo che ciascuno studente sarà tenuto a fare proprio, come complemento imprescindibile della preparazione dell'esame,</w:t>
      </w:r>
      <w:r w:rsidR="006151A8">
        <w:rPr>
          <w:rFonts w:ascii="Verdana" w:hAnsi="Verdana"/>
          <w:sz w:val="20"/>
          <w:szCs w:val="20"/>
        </w:rPr>
        <w:t xml:space="preserve"> e che verrà messo a disposizione a tempo debito</w:t>
      </w:r>
      <w:r w:rsidRPr="00421D1D">
        <w:rPr>
          <w:rFonts w:ascii="Verdana" w:hAnsi="Verdana"/>
          <w:sz w:val="20"/>
          <w:szCs w:val="20"/>
        </w:rPr>
        <w:t>. L'esame consisterà in un colloquio orale con domande vertenti sia sul Powerpoint sia sui testi di seguito elencati.</w:t>
      </w:r>
    </w:p>
    <w:p w14:paraId="28B44734" w14:textId="77777777" w:rsidR="00550349" w:rsidRDefault="00550349" w:rsidP="00550349">
      <w:pPr>
        <w:rPr>
          <w:rFonts w:ascii="Verdana" w:hAnsi="Verdana"/>
          <w:sz w:val="20"/>
          <w:szCs w:val="20"/>
        </w:rPr>
      </w:pPr>
    </w:p>
    <w:p w14:paraId="32C71C70" w14:textId="77777777" w:rsidR="0014188A" w:rsidRPr="00421D1D" w:rsidRDefault="0014188A" w:rsidP="00550349">
      <w:pPr>
        <w:rPr>
          <w:rFonts w:ascii="Verdana" w:hAnsi="Verdana"/>
          <w:sz w:val="20"/>
          <w:szCs w:val="20"/>
        </w:rPr>
      </w:pPr>
    </w:p>
    <w:p w14:paraId="271C5BA7" w14:textId="6465ECBB" w:rsidR="00550349" w:rsidRDefault="0014188A" w:rsidP="0014188A">
      <w:pPr>
        <w:jc w:val="center"/>
        <w:rPr>
          <w:rFonts w:ascii="Verdana" w:hAnsi="Verdana"/>
          <w:b/>
          <w:i/>
          <w:sz w:val="20"/>
          <w:szCs w:val="20"/>
        </w:rPr>
      </w:pPr>
      <w:r w:rsidRPr="0014188A">
        <w:rPr>
          <w:rFonts w:ascii="Verdana" w:hAnsi="Verdana"/>
          <w:b/>
          <w:i/>
          <w:sz w:val="20"/>
          <w:szCs w:val="20"/>
        </w:rPr>
        <w:t>Testi</w:t>
      </w:r>
      <w:r>
        <w:rPr>
          <w:rFonts w:ascii="Verdana" w:hAnsi="Verdana"/>
          <w:b/>
          <w:i/>
          <w:sz w:val="20"/>
          <w:szCs w:val="20"/>
        </w:rPr>
        <w:t>:</w:t>
      </w:r>
    </w:p>
    <w:p w14:paraId="3537A524" w14:textId="77777777" w:rsidR="0014188A" w:rsidRPr="0014188A" w:rsidRDefault="0014188A" w:rsidP="0014188A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38428BE9" w14:textId="0CD99BA0" w:rsidR="00550349" w:rsidRPr="00421D1D" w:rsidRDefault="00550349" w:rsidP="00550349">
      <w:pPr>
        <w:spacing w:after="120"/>
        <w:rPr>
          <w:rFonts w:ascii="Verdana" w:hAnsi="Verdana"/>
          <w:sz w:val="20"/>
          <w:szCs w:val="20"/>
        </w:rPr>
      </w:pPr>
      <w:r w:rsidRPr="00421D1D">
        <w:rPr>
          <w:rFonts w:ascii="Verdana" w:hAnsi="Verdana"/>
          <w:sz w:val="20"/>
          <w:szCs w:val="20"/>
        </w:rPr>
        <w:t xml:space="preserve">– A. Pinelli, </w:t>
      </w:r>
      <w:r w:rsidRPr="00421D1D">
        <w:rPr>
          <w:rFonts w:ascii="Verdana" w:hAnsi="Verdana"/>
          <w:i/>
          <w:sz w:val="20"/>
          <w:szCs w:val="20"/>
        </w:rPr>
        <w:t>Le ragioni della bellezza</w:t>
      </w:r>
      <w:r w:rsidRPr="00421D1D">
        <w:rPr>
          <w:rFonts w:ascii="Verdana" w:hAnsi="Verdana"/>
          <w:sz w:val="20"/>
          <w:szCs w:val="20"/>
        </w:rPr>
        <w:t>, Vol. 1</w:t>
      </w:r>
      <w:r w:rsidRPr="00421D1D">
        <w:rPr>
          <w:rFonts w:ascii="Verdana" w:hAnsi="Verdana"/>
          <w:i/>
          <w:sz w:val="20"/>
          <w:szCs w:val="20"/>
        </w:rPr>
        <w:t xml:space="preserve">. </w:t>
      </w:r>
      <w:r w:rsidR="003D6B88" w:rsidRPr="00421D1D">
        <w:rPr>
          <w:rFonts w:ascii="Verdana" w:hAnsi="Verdana"/>
          <w:i/>
          <w:sz w:val="20"/>
          <w:szCs w:val="20"/>
        </w:rPr>
        <w:t>Dalla preistoria all’apogeo dell’Impero Romano</w:t>
      </w:r>
      <w:r w:rsidRPr="00421D1D">
        <w:rPr>
          <w:rFonts w:ascii="Verdana" w:hAnsi="Verdana"/>
          <w:sz w:val="20"/>
          <w:szCs w:val="20"/>
        </w:rPr>
        <w:t>, Torino, Loescher 2011</w:t>
      </w:r>
      <w:r w:rsidR="006A04F5">
        <w:rPr>
          <w:rFonts w:ascii="Verdana" w:hAnsi="Verdana"/>
          <w:sz w:val="20"/>
          <w:szCs w:val="20"/>
        </w:rPr>
        <w:t>,</w:t>
      </w:r>
      <w:r w:rsidR="006151A8">
        <w:rPr>
          <w:rFonts w:ascii="Verdana" w:hAnsi="Verdana"/>
          <w:sz w:val="20"/>
          <w:szCs w:val="20"/>
        </w:rPr>
        <w:t xml:space="preserve"> EDIZIONE BLU,</w:t>
      </w:r>
      <w:r w:rsidR="006A04F5">
        <w:rPr>
          <w:rFonts w:ascii="Verdana" w:hAnsi="Verdana"/>
          <w:sz w:val="20"/>
          <w:szCs w:val="20"/>
        </w:rPr>
        <w:t xml:space="preserve"> pp. </w:t>
      </w:r>
      <w:r w:rsidR="006151A8">
        <w:rPr>
          <w:rFonts w:ascii="Verdana" w:hAnsi="Verdana"/>
          <w:sz w:val="20"/>
          <w:szCs w:val="20"/>
        </w:rPr>
        <w:t>1-</w:t>
      </w:r>
      <w:r w:rsidR="006A04F5">
        <w:rPr>
          <w:rFonts w:ascii="Verdana" w:hAnsi="Verdana"/>
          <w:sz w:val="20"/>
          <w:szCs w:val="20"/>
        </w:rPr>
        <w:t>26</w:t>
      </w:r>
      <w:r w:rsidR="003D6B88" w:rsidRPr="00421D1D">
        <w:rPr>
          <w:rFonts w:ascii="Verdana" w:hAnsi="Verdana"/>
          <w:sz w:val="20"/>
          <w:szCs w:val="20"/>
        </w:rPr>
        <w:t>0</w:t>
      </w:r>
      <w:r w:rsidRPr="00421D1D">
        <w:rPr>
          <w:rFonts w:ascii="Verdana" w:hAnsi="Verdana"/>
          <w:sz w:val="20"/>
          <w:szCs w:val="20"/>
        </w:rPr>
        <w:br/>
      </w:r>
    </w:p>
    <w:p w14:paraId="019DC21D" w14:textId="16FC9FA3" w:rsidR="00366052" w:rsidRDefault="00FF6DE4" w:rsidP="00C86F2D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– </w:t>
      </w:r>
      <w:r w:rsidR="00345142">
        <w:rPr>
          <w:rFonts w:ascii="Verdana" w:hAnsi="Verdana"/>
          <w:sz w:val="20"/>
          <w:szCs w:val="20"/>
        </w:rPr>
        <w:t xml:space="preserve">M.L. Catoni, </w:t>
      </w:r>
      <w:r w:rsidR="00345142">
        <w:rPr>
          <w:rFonts w:ascii="Verdana" w:hAnsi="Verdana"/>
          <w:i/>
          <w:sz w:val="20"/>
          <w:szCs w:val="20"/>
        </w:rPr>
        <w:t>La comunicazione non verbale nella Grecia antica</w:t>
      </w:r>
      <w:r w:rsidR="00345142">
        <w:rPr>
          <w:rFonts w:ascii="Verdana" w:hAnsi="Verdana"/>
          <w:sz w:val="20"/>
          <w:szCs w:val="20"/>
        </w:rPr>
        <w:t xml:space="preserve">, </w:t>
      </w:r>
      <w:r w:rsidR="00345142" w:rsidRPr="00421D1D">
        <w:rPr>
          <w:rFonts w:ascii="Verdana" w:hAnsi="Verdana"/>
          <w:sz w:val="20"/>
          <w:szCs w:val="20"/>
        </w:rPr>
        <w:t>Torino, Ed. Bollati Boringhieri</w:t>
      </w:r>
      <w:r w:rsidR="006A04F5">
        <w:rPr>
          <w:rFonts w:ascii="Verdana" w:hAnsi="Verdana"/>
          <w:sz w:val="20"/>
          <w:szCs w:val="20"/>
        </w:rPr>
        <w:t>, 2012</w:t>
      </w:r>
      <w:r w:rsidR="006151A8">
        <w:rPr>
          <w:rFonts w:ascii="Verdana" w:hAnsi="Verdana"/>
          <w:sz w:val="20"/>
          <w:szCs w:val="20"/>
        </w:rPr>
        <w:t>, 332 pp.</w:t>
      </w:r>
    </w:p>
    <w:p w14:paraId="66791E53" w14:textId="7484FA64" w:rsidR="001C7994" w:rsidRPr="00421D1D" w:rsidRDefault="00550349" w:rsidP="00345142">
      <w:pPr>
        <w:spacing w:after="240"/>
        <w:rPr>
          <w:rFonts w:ascii="Verdana" w:hAnsi="Verdana"/>
          <w:sz w:val="20"/>
          <w:szCs w:val="20"/>
        </w:rPr>
      </w:pPr>
      <w:r w:rsidRPr="00421D1D">
        <w:rPr>
          <w:rFonts w:ascii="Verdana" w:hAnsi="Verdana"/>
          <w:sz w:val="20"/>
          <w:szCs w:val="20"/>
        </w:rPr>
        <w:t xml:space="preserve">– P. Zanker, </w:t>
      </w:r>
      <w:r w:rsidRPr="00421D1D">
        <w:rPr>
          <w:rFonts w:ascii="Verdana" w:hAnsi="Verdana"/>
          <w:i/>
          <w:sz w:val="20"/>
          <w:szCs w:val="20"/>
        </w:rPr>
        <w:t>Augusto e il potere delle immagini</w:t>
      </w:r>
      <w:r w:rsidRPr="00421D1D">
        <w:rPr>
          <w:rFonts w:ascii="Verdana" w:hAnsi="Verdana"/>
          <w:sz w:val="20"/>
          <w:szCs w:val="20"/>
        </w:rPr>
        <w:t>, Torino, Ed. Bollati Boringhieri 2003</w:t>
      </w:r>
      <w:r w:rsidR="006151A8">
        <w:rPr>
          <w:rFonts w:ascii="Verdana" w:hAnsi="Verdana"/>
          <w:sz w:val="20"/>
          <w:szCs w:val="20"/>
        </w:rPr>
        <w:t>, 384 pp.</w:t>
      </w:r>
    </w:p>
    <w:sectPr w:rsidR="001C7994" w:rsidRPr="00421D1D" w:rsidSect="00421D1D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F"/>
    <w:rsid w:val="00077C92"/>
    <w:rsid w:val="0014188A"/>
    <w:rsid w:val="00150215"/>
    <w:rsid w:val="001C7994"/>
    <w:rsid w:val="001D5B34"/>
    <w:rsid w:val="002369CD"/>
    <w:rsid w:val="00287F2B"/>
    <w:rsid w:val="00345142"/>
    <w:rsid w:val="00366052"/>
    <w:rsid w:val="003823C4"/>
    <w:rsid w:val="003B71CB"/>
    <w:rsid w:val="003D6B88"/>
    <w:rsid w:val="00421D1D"/>
    <w:rsid w:val="00467E4A"/>
    <w:rsid w:val="00492AED"/>
    <w:rsid w:val="004E5F24"/>
    <w:rsid w:val="005051E2"/>
    <w:rsid w:val="00550349"/>
    <w:rsid w:val="006151A8"/>
    <w:rsid w:val="00662717"/>
    <w:rsid w:val="006A04F5"/>
    <w:rsid w:val="00944B6C"/>
    <w:rsid w:val="00B21E3F"/>
    <w:rsid w:val="00C86F2D"/>
    <w:rsid w:val="00D009A6"/>
    <w:rsid w:val="00D3505E"/>
    <w:rsid w:val="00DB2C20"/>
    <w:rsid w:val="00E5588C"/>
    <w:rsid w:val="00E82925"/>
    <w:rsid w:val="00F357BE"/>
    <w:rsid w:val="00FB69CC"/>
    <w:rsid w:val="00FB7D88"/>
    <w:rsid w:val="00FF307B"/>
    <w:rsid w:val="00FF6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8262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3F"/>
    <w:pPr>
      <w:ind w:left="720"/>
      <w:contextualSpacing/>
    </w:pPr>
  </w:style>
  <w:style w:type="character" w:styleId="Hyperlink">
    <w:name w:val="Hyperlink"/>
    <w:basedOn w:val="DefaultParagraphFont"/>
    <w:rsid w:val="00550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3F"/>
    <w:pPr>
      <w:ind w:left="720"/>
      <w:contextualSpacing/>
    </w:pPr>
  </w:style>
  <w:style w:type="character" w:styleId="Hyperlink">
    <w:name w:val="Hyperlink"/>
    <w:basedOn w:val="DefaultParagraphFont"/>
    <w:rsid w:val="00550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390</Words>
  <Characters>2225</Characters>
  <Application>Microsoft Macintosh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de Simone</dc:creator>
  <cp:keywords/>
  <cp:lastModifiedBy>Gerardo de Simone</cp:lastModifiedBy>
  <cp:revision>8</cp:revision>
  <dcterms:created xsi:type="dcterms:W3CDTF">2013-10-20T19:21:00Z</dcterms:created>
  <dcterms:modified xsi:type="dcterms:W3CDTF">2014-03-04T09:59:00Z</dcterms:modified>
</cp:coreProperties>
</file>